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120" w:lineRule="auto"/>
        <w:jc w:val="center"/>
        <w:rPr>
          <w:b w:val="1"/>
          <w:sz w:val="23"/>
          <w:szCs w:val="23"/>
        </w:rPr>
      </w:pPr>
      <w:r w:rsidDel="00000000" w:rsidR="00000000" w:rsidRPr="00000000">
        <w:rPr>
          <w:b w:val="1"/>
          <w:sz w:val="23"/>
          <w:szCs w:val="23"/>
          <w:rtl w:val="0"/>
        </w:rPr>
        <w:t xml:space="preserve">20—21 февраля пройдет международная онлайн-конференция Synopsis 2021</w:t>
      </w:r>
    </w:p>
    <w:p w:rsidR="00000000" w:rsidDel="00000000" w:rsidP="00000000" w:rsidRDefault="00000000" w:rsidRPr="00000000" w14:paraId="00000002">
      <w:pPr>
        <w:spacing w:after="120" w:lineRule="auto"/>
        <w:rPr>
          <w:sz w:val="19"/>
          <w:szCs w:val="19"/>
        </w:rPr>
      </w:pPr>
      <w:r w:rsidDel="00000000" w:rsidR="00000000" w:rsidRPr="00000000">
        <w:rPr>
          <w:sz w:val="19"/>
          <w:szCs w:val="19"/>
          <w:rtl w:val="0"/>
        </w:rPr>
        <w:t xml:space="preserve">20—21 февраля при поддержке «Комиссии по Блокчейн Технологиям и Крипто-экономике» общероссийской общественной организации «Инвестиционная Россия» пройдет международный онлайн-саммит </w:t>
      </w:r>
      <w:hyperlink r:id="rId6">
        <w:r w:rsidDel="00000000" w:rsidR="00000000" w:rsidRPr="00000000">
          <w:rPr>
            <w:color w:val="1155cc"/>
            <w:sz w:val="19"/>
            <w:szCs w:val="19"/>
            <w:u w:val="single"/>
            <w:rtl w:val="0"/>
          </w:rPr>
          <w:t xml:space="preserve">Synopsis 2021</w:t>
        </w:r>
      </w:hyperlink>
      <w:r w:rsidDel="00000000" w:rsidR="00000000" w:rsidRPr="00000000">
        <w:rPr>
          <w:sz w:val="19"/>
          <w:szCs w:val="19"/>
          <w:rtl w:val="0"/>
        </w:rPr>
        <w:t xml:space="preserve"> — крупнейшее интерактивное событие индустрии блокчейн и децентрализованных финансов с начала года.</w:t>
      </w:r>
    </w:p>
    <w:p w:rsidR="00000000" w:rsidDel="00000000" w:rsidP="00000000" w:rsidRDefault="00000000" w:rsidRPr="00000000" w14:paraId="00000003">
      <w:pPr>
        <w:spacing w:after="120" w:lineRule="auto"/>
        <w:rPr>
          <w:b w:val="1"/>
          <w:sz w:val="19"/>
          <w:szCs w:val="19"/>
        </w:rPr>
      </w:pPr>
      <w:r w:rsidDel="00000000" w:rsidR="00000000" w:rsidRPr="00000000">
        <w:rPr>
          <w:b w:val="1"/>
          <w:sz w:val="19"/>
          <w:szCs w:val="19"/>
          <w:rtl w:val="0"/>
        </w:rPr>
        <w:t xml:space="preserve">В программе конференции 7 главных тем:</w:t>
      </w:r>
    </w:p>
    <w:p w:rsidR="00000000" w:rsidDel="00000000" w:rsidP="00000000" w:rsidRDefault="00000000" w:rsidRPr="00000000" w14:paraId="00000004">
      <w:pPr>
        <w:spacing w:after="120" w:lineRule="auto"/>
        <w:rPr>
          <w:sz w:val="19"/>
          <w:szCs w:val="19"/>
        </w:rPr>
      </w:pPr>
      <w:r w:rsidDel="00000000" w:rsidR="00000000" w:rsidRPr="00000000">
        <w:rPr>
          <w:sz w:val="19"/>
          <w:szCs w:val="19"/>
          <w:rtl w:val="0"/>
        </w:rPr>
        <w:t xml:space="preserve">- Децентрализованные финансы</w:t>
      </w:r>
    </w:p>
    <w:p w:rsidR="00000000" w:rsidDel="00000000" w:rsidP="00000000" w:rsidRDefault="00000000" w:rsidRPr="00000000" w14:paraId="00000005">
      <w:pPr>
        <w:spacing w:after="120" w:lineRule="auto"/>
        <w:rPr>
          <w:sz w:val="19"/>
          <w:szCs w:val="19"/>
        </w:rPr>
      </w:pPr>
      <w:r w:rsidDel="00000000" w:rsidR="00000000" w:rsidRPr="00000000">
        <w:rPr>
          <w:sz w:val="19"/>
          <w:szCs w:val="19"/>
          <w:rtl w:val="0"/>
        </w:rPr>
        <w:t xml:space="preserve">- Цифровая экономика и правовое регулирование</w:t>
      </w:r>
    </w:p>
    <w:p w:rsidR="00000000" w:rsidDel="00000000" w:rsidP="00000000" w:rsidRDefault="00000000" w:rsidRPr="00000000" w14:paraId="00000006">
      <w:pPr>
        <w:spacing w:after="120" w:lineRule="auto"/>
        <w:rPr>
          <w:sz w:val="19"/>
          <w:szCs w:val="19"/>
        </w:rPr>
      </w:pPr>
      <w:r w:rsidDel="00000000" w:rsidR="00000000" w:rsidRPr="00000000">
        <w:rPr>
          <w:sz w:val="19"/>
          <w:szCs w:val="19"/>
          <w:rtl w:val="0"/>
        </w:rPr>
        <w:t xml:space="preserve">- Биржи</w:t>
      </w:r>
    </w:p>
    <w:p w:rsidR="00000000" w:rsidDel="00000000" w:rsidP="00000000" w:rsidRDefault="00000000" w:rsidRPr="00000000" w14:paraId="00000007">
      <w:pPr>
        <w:spacing w:after="120" w:lineRule="auto"/>
        <w:rPr>
          <w:sz w:val="19"/>
          <w:szCs w:val="19"/>
        </w:rPr>
      </w:pPr>
      <w:r w:rsidDel="00000000" w:rsidR="00000000" w:rsidRPr="00000000">
        <w:rPr>
          <w:sz w:val="19"/>
          <w:szCs w:val="19"/>
          <w:rtl w:val="0"/>
        </w:rPr>
        <w:t xml:space="preserve">- Торговля</w:t>
      </w:r>
    </w:p>
    <w:p w:rsidR="00000000" w:rsidDel="00000000" w:rsidP="00000000" w:rsidRDefault="00000000" w:rsidRPr="00000000" w14:paraId="00000008">
      <w:pPr>
        <w:spacing w:after="120" w:lineRule="auto"/>
        <w:rPr>
          <w:sz w:val="19"/>
          <w:szCs w:val="19"/>
        </w:rPr>
      </w:pPr>
      <w:r w:rsidDel="00000000" w:rsidR="00000000" w:rsidRPr="00000000">
        <w:rPr>
          <w:sz w:val="19"/>
          <w:szCs w:val="19"/>
          <w:rtl w:val="0"/>
        </w:rPr>
        <w:t xml:space="preserve">- Доходное фермерство</w:t>
      </w:r>
    </w:p>
    <w:p w:rsidR="00000000" w:rsidDel="00000000" w:rsidP="00000000" w:rsidRDefault="00000000" w:rsidRPr="00000000" w14:paraId="00000009">
      <w:pPr>
        <w:spacing w:after="120" w:lineRule="auto"/>
        <w:rPr>
          <w:sz w:val="19"/>
          <w:szCs w:val="19"/>
        </w:rPr>
      </w:pPr>
      <w:r w:rsidDel="00000000" w:rsidR="00000000" w:rsidRPr="00000000">
        <w:rPr>
          <w:sz w:val="19"/>
          <w:szCs w:val="19"/>
          <w:rtl w:val="0"/>
        </w:rPr>
        <w:t xml:space="preserve">- Майнинг 2021</w:t>
      </w:r>
    </w:p>
    <w:p w:rsidR="00000000" w:rsidDel="00000000" w:rsidP="00000000" w:rsidRDefault="00000000" w:rsidRPr="00000000" w14:paraId="0000000A">
      <w:pPr>
        <w:spacing w:after="120" w:lineRule="auto"/>
        <w:rPr>
          <w:sz w:val="19"/>
          <w:szCs w:val="19"/>
        </w:rPr>
      </w:pPr>
      <w:r w:rsidDel="00000000" w:rsidR="00000000" w:rsidRPr="00000000">
        <w:rPr>
          <w:sz w:val="19"/>
          <w:szCs w:val="19"/>
          <w:rtl w:val="0"/>
        </w:rPr>
        <w:t xml:space="preserve">- Токены NFT</w:t>
      </w:r>
    </w:p>
    <w:p w:rsidR="00000000" w:rsidDel="00000000" w:rsidP="00000000" w:rsidRDefault="00000000" w:rsidRPr="00000000" w14:paraId="0000000B">
      <w:pPr>
        <w:spacing w:after="120" w:lineRule="auto"/>
        <w:rPr>
          <w:sz w:val="19"/>
          <w:szCs w:val="19"/>
        </w:rPr>
      </w:pPr>
      <w:r w:rsidDel="00000000" w:rsidR="00000000" w:rsidRPr="00000000">
        <w:rPr>
          <w:b w:val="1"/>
          <w:sz w:val="19"/>
          <w:szCs w:val="19"/>
          <w:rtl w:val="0"/>
        </w:rPr>
        <w:t xml:space="preserve">Ведущие конференции</w:t>
      </w:r>
      <w:r w:rsidDel="00000000" w:rsidR="00000000" w:rsidRPr="00000000">
        <w:rPr>
          <w:sz w:val="19"/>
          <w:szCs w:val="19"/>
          <w:rtl w:val="0"/>
        </w:rPr>
        <w:t xml:space="preserve"> — Мария Станкевич (EXMO), Мари Татибуэ (Gate), Ян Хаванский (Coindar, Colibri Group), Лихан Ли (Xangle), Максим Сухоносик (Xangle) и Алена Афанасьева (BeInCrypto).</w:t>
      </w:r>
    </w:p>
    <w:p w:rsidR="00000000" w:rsidDel="00000000" w:rsidP="00000000" w:rsidRDefault="00000000" w:rsidRPr="00000000" w14:paraId="0000000C">
      <w:pPr>
        <w:spacing w:after="120" w:lineRule="auto"/>
        <w:rPr>
          <w:sz w:val="19"/>
          <w:szCs w:val="19"/>
        </w:rPr>
      </w:pPr>
      <w:r w:rsidDel="00000000" w:rsidR="00000000" w:rsidRPr="00000000">
        <w:rPr>
          <w:sz w:val="19"/>
          <w:szCs w:val="19"/>
          <w:rtl w:val="0"/>
        </w:rPr>
        <w:t xml:space="preserve">Synopsis 2021 соберет более 50 спикеров из 16 стран. Среди них представители прогрессивных проектов, евангелисты цифровой экономики, эксперты в области ДеФи, торговли, рыночной аналитики, майнинга, взаимонезаменяемых токенов NFT, маркетинга и управления, нормативно-правового регулирования и группы взаимодействия государство-бизнес в смежных областях. По оценкам организаторов число участников конференции составит более 20 000 человек.</w:t>
      </w:r>
    </w:p>
    <w:p w:rsidR="00000000" w:rsidDel="00000000" w:rsidP="00000000" w:rsidRDefault="00000000" w:rsidRPr="00000000" w14:paraId="0000000D">
      <w:pPr>
        <w:spacing w:after="120" w:lineRule="auto"/>
        <w:rPr>
          <w:sz w:val="19"/>
          <w:szCs w:val="19"/>
        </w:rPr>
      </w:pPr>
      <w:r w:rsidDel="00000000" w:rsidR="00000000" w:rsidRPr="00000000">
        <w:rPr>
          <w:sz w:val="19"/>
          <w:szCs w:val="19"/>
          <w:rtl w:val="0"/>
        </w:rPr>
        <w:t xml:space="preserve">Аудитория конференции Synopsis 2021 — это инвесторы, трейдеры, аналитики рынка, экономисты, маркетологи, разработчики, представители регулирующих органов, криптовалютные энтузиасты, студенты и все, кто интересуется цифровой экономикой.</w:t>
      </w:r>
    </w:p>
    <w:p w:rsidR="00000000" w:rsidDel="00000000" w:rsidP="00000000" w:rsidRDefault="00000000" w:rsidRPr="00000000" w14:paraId="0000000E">
      <w:pPr>
        <w:rPr>
          <w:sz w:val="19"/>
          <w:szCs w:val="19"/>
        </w:rPr>
      </w:pPr>
      <w:r w:rsidDel="00000000" w:rsidR="00000000" w:rsidRPr="00000000">
        <w:rPr>
          <w:sz w:val="19"/>
          <w:szCs w:val="19"/>
          <w:rtl w:val="0"/>
        </w:rPr>
        <w:t xml:space="preserve">Получите доступ к релевантной информации от Хедлайнеров Индустрии. Круглые столы, панельные дискуссии, сольные выступления, AMA и интервью ждут не только вашего внимания, но и участия. </w:t>
      </w:r>
    </w:p>
    <w:p w:rsidR="00000000" w:rsidDel="00000000" w:rsidP="00000000" w:rsidRDefault="00000000" w:rsidRPr="00000000" w14:paraId="0000000F">
      <w:pPr>
        <w:rPr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120" w:lineRule="auto"/>
        <w:rPr>
          <w:sz w:val="19"/>
          <w:szCs w:val="19"/>
        </w:rPr>
      </w:pPr>
      <w:r w:rsidDel="00000000" w:rsidR="00000000" w:rsidRPr="00000000">
        <w:rPr>
          <w:sz w:val="19"/>
          <w:szCs w:val="19"/>
          <w:rtl w:val="0"/>
        </w:rPr>
        <w:t xml:space="preserve">Для участников приготовлено более десятка конкурсов на знание рынка ДеФи на </w:t>
      </w:r>
      <w:hyperlink r:id="rId7">
        <w:r w:rsidDel="00000000" w:rsidR="00000000" w:rsidRPr="00000000">
          <w:rPr>
            <w:color w:val="1155cc"/>
            <w:sz w:val="19"/>
            <w:szCs w:val="19"/>
            <w:u w:val="single"/>
            <w:rtl w:val="0"/>
          </w:rPr>
          <w:t xml:space="preserve">Coindar</w:t>
        </w:r>
      </w:hyperlink>
      <w:r w:rsidDel="00000000" w:rsidR="00000000" w:rsidRPr="00000000">
        <w:rPr>
          <w:sz w:val="19"/>
          <w:szCs w:val="19"/>
          <w:rtl w:val="0"/>
        </w:rPr>
        <w:t xml:space="preserve">, сессии вопрос-ответ в популярных криптовалютных чатах, лотерея с раздачей токенов перспективных проектов, раздача призов в социальных сетях и интерактивные мероприятия. Соревнуйтесь в компетенциях, участвуйте в гивевей, задавайте лучшие вопросы, продемонстрируйте свои навыки и познания в децентрализованных финансах и получайте призы от выдающихся крипто проектов.</w:t>
      </w:r>
    </w:p>
    <w:p w:rsidR="00000000" w:rsidDel="00000000" w:rsidP="00000000" w:rsidRDefault="00000000" w:rsidRPr="00000000" w14:paraId="00000011">
      <w:pPr>
        <w:spacing w:after="120" w:lineRule="auto"/>
        <w:rPr>
          <w:sz w:val="19"/>
          <w:szCs w:val="19"/>
        </w:rPr>
      </w:pPr>
      <w:r w:rsidDel="00000000" w:rsidR="00000000" w:rsidRPr="00000000">
        <w:rPr>
          <w:sz w:val="19"/>
          <w:szCs w:val="19"/>
          <w:rtl w:val="0"/>
        </w:rPr>
        <w:t xml:space="preserve">После конференции медиа команда проекта Prometheus и Руслан Соколовский проведут AfterParty на блокчейн-тематику. Участие бесплатное. Покупка билетов дает доступ к розыгрышу призов и другим преимуществам участия.</w:t>
      </w:r>
    </w:p>
    <w:p w:rsidR="00000000" w:rsidDel="00000000" w:rsidP="00000000" w:rsidRDefault="00000000" w:rsidRPr="00000000" w14:paraId="00000012">
      <w:pPr>
        <w:spacing w:after="120" w:lineRule="auto"/>
        <w:rPr>
          <w:sz w:val="19"/>
          <w:szCs w:val="19"/>
        </w:rPr>
      </w:pPr>
      <w:r w:rsidDel="00000000" w:rsidR="00000000" w:rsidRPr="00000000">
        <w:rPr>
          <w:sz w:val="19"/>
          <w:szCs w:val="19"/>
          <w:rtl w:val="0"/>
        </w:rPr>
        <w:t xml:space="preserve">Трансляция будет проводиться на децентрализованном телевидении THETA tv. Специальный партнер саммита - THETA Labs.</w:t>
      </w:r>
    </w:p>
    <w:p w:rsidR="00000000" w:rsidDel="00000000" w:rsidP="00000000" w:rsidRDefault="00000000" w:rsidRPr="00000000" w14:paraId="00000013">
      <w:pPr>
        <w:spacing w:after="120" w:lineRule="auto"/>
        <w:rPr>
          <w:sz w:val="19"/>
          <w:szCs w:val="19"/>
        </w:rPr>
      </w:pPr>
      <w:r w:rsidDel="00000000" w:rsidR="00000000" w:rsidRPr="00000000">
        <w:rPr>
          <w:sz w:val="19"/>
          <w:szCs w:val="19"/>
          <w:rtl w:val="0"/>
        </w:rPr>
        <w:t xml:space="preserve">Партнерами саммита являются: ARPA, Conflux, Binance, Bella Protocol, EXMO, CyberVein, Gate, Ontology, Enjin, THETA, Veros, Bingbon, Gather Network, TrustBase и другие популярные проекты.</w:t>
      </w:r>
    </w:p>
    <w:p w:rsidR="00000000" w:rsidDel="00000000" w:rsidP="00000000" w:rsidRDefault="00000000" w:rsidRPr="00000000" w14:paraId="00000014">
      <w:pPr>
        <w:spacing w:after="120" w:lineRule="auto"/>
        <w:rPr>
          <w:sz w:val="19"/>
          <w:szCs w:val="19"/>
        </w:rPr>
      </w:pPr>
      <w:r w:rsidDel="00000000" w:rsidR="00000000" w:rsidRPr="00000000">
        <w:rPr>
          <w:sz w:val="19"/>
          <w:szCs w:val="19"/>
          <w:rtl w:val="0"/>
        </w:rPr>
        <w:t xml:space="preserve">Организаторами и соорганизаторами выступают Colibri Group, </w:t>
      </w:r>
      <w:hyperlink r:id="rId8">
        <w:r w:rsidDel="00000000" w:rsidR="00000000" w:rsidRPr="00000000">
          <w:rPr>
            <w:color w:val="1155cc"/>
            <w:sz w:val="19"/>
            <w:szCs w:val="19"/>
            <w:u w:val="single"/>
            <w:rtl w:val="0"/>
          </w:rPr>
          <w:t xml:space="preserve">Coindar</w:t>
        </w:r>
      </w:hyperlink>
      <w:r w:rsidDel="00000000" w:rsidR="00000000" w:rsidRPr="00000000">
        <w:rPr>
          <w:sz w:val="19"/>
          <w:szCs w:val="19"/>
          <w:rtl w:val="0"/>
        </w:rPr>
        <w:t xml:space="preserve">, </w:t>
      </w:r>
      <w:hyperlink r:id="rId9">
        <w:r w:rsidDel="00000000" w:rsidR="00000000" w:rsidRPr="00000000">
          <w:rPr>
            <w:color w:val="1155cc"/>
            <w:sz w:val="19"/>
            <w:szCs w:val="19"/>
            <w:u w:val="single"/>
            <w:rtl w:val="0"/>
          </w:rPr>
          <w:t xml:space="preserve">Xangle</w:t>
        </w:r>
      </w:hyperlink>
      <w:r w:rsidDel="00000000" w:rsidR="00000000" w:rsidRPr="00000000">
        <w:rPr>
          <w:sz w:val="19"/>
          <w:szCs w:val="19"/>
          <w:rtl w:val="0"/>
        </w:rPr>
        <w:t xml:space="preserve">, </w:t>
      </w:r>
      <w:hyperlink r:id="rId10">
        <w:r w:rsidDel="00000000" w:rsidR="00000000" w:rsidRPr="00000000">
          <w:rPr>
            <w:color w:val="1155cc"/>
            <w:sz w:val="19"/>
            <w:szCs w:val="19"/>
            <w:u w:val="single"/>
            <w:rtl w:val="0"/>
          </w:rPr>
          <w:t xml:space="preserve">Инвестиционная Россия</w:t>
        </w:r>
      </w:hyperlink>
      <w:r w:rsidDel="00000000" w:rsidR="00000000" w:rsidRPr="00000000">
        <w:rPr>
          <w:sz w:val="19"/>
          <w:szCs w:val="19"/>
          <w:rtl w:val="0"/>
        </w:rPr>
        <w:t xml:space="preserve">. </w:t>
      </w:r>
    </w:p>
    <w:p w:rsidR="00000000" w:rsidDel="00000000" w:rsidP="00000000" w:rsidRDefault="00000000" w:rsidRPr="00000000" w14:paraId="00000015">
      <w:pPr>
        <w:spacing w:after="120" w:lineRule="auto"/>
        <w:rPr>
          <w:sz w:val="19"/>
          <w:szCs w:val="19"/>
        </w:rPr>
      </w:pPr>
      <w:r w:rsidDel="00000000" w:rsidR="00000000" w:rsidRPr="00000000">
        <w:rPr>
          <w:sz w:val="19"/>
          <w:szCs w:val="19"/>
          <w:rtl w:val="0"/>
        </w:rPr>
        <w:t xml:space="preserve">Смотрите подробности на</w:t>
      </w:r>
      <w:hyperlink r:id="rId11">
        <w:r w:rsidDel="00000000" w:rsidR="00000000" w:rsidRPr="00000000">
          <w:rPr>
            <w:sz w:val="19"/>
            <w:szCs w:val="19"/>
            <w:rtl w:val="0"/>
          </w:rPr>
          <w:t xml:space="preserve"> </w:t>
        </w:r>
      </w:hyperlink>
      <w:hyperlink r:id="rId12">
        <w:r w:rsidDel="00000000" w:rsidR="00000000" w:rsidRPr="00000000">
          <w:rPr>
            <w:color w:val="0b4cb4"/>
            <w:sz w:val="19"/>
            <w:szCs w:val="19"/>
            <w:u w:val="single"/>
            <w:rtl w:val="0"/>
          </w:rPr>
          <w:t xml:space="preserve">официальном сайте</w:t>
        </w:r>
      </w:hyperlink>
      <w:r w:rsidDel="00000000" w:rsidR="00000000" w:rsidRPr="00000000">
        <w:rPr>
          <w:color w:val="0b4cb4"/>
          <w:sz w:val="19"/>
          <w:szCs w:val="19"/>
          <w:u w:val="single"/>
          <w:rtl w:val="0"/>
        </w:rPr>
        <w:t xml:space="preserve"> </w:t>
      </w:r>
      <w:r w:rsidDel="00000000" w:rsidR="00000000" w:rsidRPr="00000000">
        <w:rPr>
          <w:sz w:val="19"/>
          <w:szCs w:val="19"/>
          <w:rtl w:val="0"/>
        </w:rPr>
        <w:t xml:space="preserve">конференции.</w:t>
      </w:r>
    </w:p>
    <w:p w:rsidR="00000000" w:rsidDel="00000000" w:rsidP="00000000" w:rsidRDefault="00000000" w:rsidRPr="00000000" w14:paraId="00000016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https://synopsis2021.com/" TargetMode="External"/><Relationship Id="rId10" Type="http://schemas.openxmlformats.org/officeDocument/2006/relationships/hyperlink" Target="https://investros.ru/innovation.html" TargetMode="External"/><Relationship Id="rId12" Type="http://schemas.openxmlformats.org/officeDocument/2006/relationships/hyperlink" Target="https://synopsis2021.com/" TargetMode="External"/><Relationship Id="rId9" Type="http://schemas.openxmlformats.org/officeDocument/2006/relationships/hyperlink" Target="https://xangle.io" TargetMode="External"/><Relationship Id="rId5" Type="http://schemas.openxmlformats.org/officeDocument/2006/relationships/styles" Target="styles.xml"/><Relationship Id="rId6" Type="http://schemas.openxmlformats.org/officeDocument/2006/relationships/hyperlink" Target="https://synopsis2021.com/" TargetMode="External"/><Relationship Id="rId7" Type="http://schemas.openxmlformats.org/officeDocument/2006/relationships/hyperlink" Target="https://coindar.org/" TargetMode="External"/><Relationship Id="rId8" Type="http://schemas.openxmlformats.org/officeDocument/2006/relationships/hyperlink" Target="https://coindar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